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5DA2E" w14:textId="77777777" w:rsidR="006D1196" w:rsidRDefault="006D1196" w:rsidP="00A10103">
      <w:pPr>
        <w:ind w:left="-142" w:right="-433"/>
        <w:jc w:val="both"/>
        <w:rPr>
          <w:rFonts w:cs="Times New Roman"/>
          <w:i/>
          <w:lang w:val="it-IT"/>
        </w:rPr>
      </w:pPr>
    </w:p>
    <w:p w14:paraId="243FF319" w14:textId="77777777" w:rsidR="006D1196" w:rsidRDefault="006D1196" w:rsidP="00A10103">
      <w:pPr>
        <w:ind w:left="-142" w:right="-433"/>
        <w:jc w:val="both"/>
        <w:rPr>
          <w:rFonts w:cs="Times New Roman"/>
          <w:i/>
          <w:lang w:val="it-IT"/>
        </w:rPr>
      </w:pPr>
    </w:p>
    <w:p w14:paraId="445DDE7F" w14:textId="77777777" w:rsidR="00B6255A" w:rsidRDefault="00D52B84">
      <w:pPr>
        <w:ind w:left="-142" w:right="-433"/>
        <w:jc w:val="both"/>
        <w:rPr>
          <w:rFonts w:cs="Times New Roman"/>
          <w:i/>
          <w:lang w:val="it-IT"/>
        </w:rPr>
      </w:pPr>
      <w:r>
        <w:rPr>
          <w:rFonts w:cs="Times New Roman"/>
          <w:i/>
          <w:lang w:val="it-IT"/>
        </w:rPr>
        <w:t xml:space="preserve">Press release no. </w:t>
      </w:r>
      <w:r w:rsidR="008C7C6F">
        <w:rPr>
          <w:rFonts w:cs="Times New Roman"/>
          <w:i/>
          <w:lang w:val="it-IT"/>
        </w:rPr>
        <w:t>27/2021</w:t>
      </w:r>
    </w:p>
    <w:p w14:paraId="602D94DD" w14:textId="77777777" w:rsidR="00815AA7" w:rsidRPr="00815AA7" w:rsidRDefault="00815AA7" w:rsidP="007B0E88">
      <w:pPr>
        <w:ind w:left="-142" w:right="-433"/>
        <w:jc w:val="both"/>
        <w:rPr>
          <w:rFonts w:cs="Times New Roman"/>
          <w:i/>
          <w:lang w:val="it-IT"/>
        </w:rPr>
      </w:pPr>
    </w:p>
    <w:p w14:paraId="4FB4BD3F" w14:textId="77777777" w:rsidR="00B6255A" w:rsidRDefault="00D52B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bCs/>
          <w:color w:val="auto"/>
          <w:sz w:val="28"/>
          <w:szCs w:val="28"/>
          <w:bdr w:val="none" w:sz="0" w:space="0" w:color="auto"/>
          <w:lang w:val="it-IT" w:eastAsia="en-US"/>
        </w:rPr>
      </w:pPr>
      <w:r w:rsidRPr="008C7C6F">
        <w:rPr>
          <w:rFonts w:eastAsia="Calibri" w:cs="Times New Roman"/>
          <w:b/>
          <w:bCs/>
          <w:color w:val="auto"/>
          <w:sz w:val="28"/>
          <w:szCs w:val="28"/>
          <w:bdr w:val="none" w:sz="0" w:space="0" w:color="auto"/>
          <w:lang w:val="it-IT" w:eastAsia="en-US"/>
        </w:rPr>
        <w:t>EIMA 2021: "big" industries in the spotlight</w:t>
      </w:r>
    </w:p>
    <w:p w14:paraId="63CD075B" w14:textId="77777777" w:rsidR="008C7C6F" w:rsidRPr="008C7C6F" w:rsidRDefault="008C7C6F" w:rsidP="008C7C6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bCs/>
          <w:color w:val="auto"/>
          <w:bdr w:val="none" w:sz="0" w:space="0" w:color="auto"/>
          <w:lang w:val="it-IT" w:eastAsia="en-US"/>
        </w:rPr>
      </w:pPr>
    </w:p>
    <w:p w14:paraId="4BA0165C" w14:textId="77777777" w:rsidR="00B6255A" w:rsidRDefault="00D52B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bCs/>
          <w:i/>
          <w:iCs/>
          <w:color w:val="auto"/>
          <w:bdr w:val="none" w:sz="0" w:space="0" w:color="auto"/>
          <w:lang w:val="it-IT" w:eastAsia="en-US"/>
        </w:rPr>
      </w:pPr>
      <w:r w:rsidRPr="008C7C6F">
        <w:rPr>
          <w:rFonts w:eastAsia="Calibri" w:cs="Times New Roman"/>
          <w:b/>
          <w:bCs/>
          <w:i/>
          <w:iCs/>
          <w:color w:val="auto"/>
          <w:bdr w:val="none" w:sz="0" w:space="0" w:color="auto"/>
          <w:lang w:val="it-IT" w:eastAsia="en-US"/>
        </w:rPr>
        <w:t>The second day of EIMA 2021, which is attracting a good number of visitors, will feature, in addition to a wide range of themed events, press meetings promoted by the exhibiting industries. Of particular interest among these meetings were those organised b</w:t>
      </w:r>
      <w:r w:rsidRPr="008C7C6F">
        <w:rPr>
          <w:rFonts w:eastAsia="Calibri" w:cs="Times New Roman"/>
          <w:b/>
          <w:bCs/>
          <w:i/>
          <w:iCs/>
          <w:color w:val="auto"/>
          <w:bdr w:val="none" w:sz="0" w:space="0" w:color="auto"/>
          <w:lang w:val="it-IT" w:eastAsia="en-US"/>
        </w:rPr>
        <w:t xml:space="preserve">y New Holland and Argo Tractors. </w:t>
      </w:r>
    </w:p>
    <w:p w14:paraId="57869B44" w14:textId="77777777" w:rsidR="008C7C6F" w:rsidRPr="008C7C6F" w:rsidRDefault="008C7C6F" w:rsidP="008C7C6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color w:val="auto"/>
          <w:bdr w:val="none" w:sz="0" w:space="0" w:color="auto"/>
          <w:lang w:val="it-IT" w:eastAsia="en-US"/>
        </w:rPr>
      </w:pPr>
    </w:p>
    <w:p w14:paraId="61FF635B" w14:textId="7C1FD88D" w:rsidR="00B6255A" w:rsidRDefault="00D52B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color w:val="auto"/>
          <w:bdr w:val="none" w:sz="0" w:space="0" w:color="auto"/>
          <w:lang w:val="it-IT" w:eastAsia="en-US"/>
        </w:rPr>
      </w:pPr>
      <w:r w:rsidRPr="008C7C6F">
        <w:rPr>
          <w:rFonts w:eastAsia="Calibri" w:cs="Times New Roman"/>
          <w:color w:val="auto"/>
          <w:bdr w:val="none" w:sz="0" w:space="0" w:color="auto"/>
          <w:lang w:val="it-IT" w:eastAsia="en-US"/>
        </w:rPr>
        <w:t>A good turnout on the second day of EIMA International, the great world exhibition of agricultural and gardening machinery, scheduled in Bologna until Saturday, October 23. The exhibition of agricultural mechanization today offered its visitors a full cale</w:t>
      </w:r>
      <w:r w:rsidRPr="008C7C6F">
        <w:rPr>
          <w:rFonts w:eastAsia="Calibri" w:cs="Times New Roman"/>
          <w:color w:val="auto"/>
          <w:bdr w:val="none" w:sz="0" w:space="0" w:color="auto"/>
          <w:lang w:val="it-IT" w:eastAsia="en-US"/>
        </w:rPr>
        <w:t xml:space="preserve">ndar of events, including conferences, workshops and seminars. </w:t>
      </w:r>
      <w:r w:rsidR="00392960">
        <w:rPr>
          <w:rFonts w:eastAsia="Calibri" w:cs="Times New Roman"/>
          <w:color w:val="auto"/>
          <w:bdr w:val="none" w:sz="0" w:space="0" w:color="auto"/>
          <w:lang w:val="it-IT" w:eastAsia="en-US"/>
        </w:rPr>
        <w:t>A highlight</w:t>
      </w:r>
      <w:r w:rsidRPr="008C7C6F">
        <w:rPr>
          <w:rFonts w:eastAsia="Calibri" w:cs="Times New Roman"/>
          <w:color w:val="auto"/>
          <w:bdr w:val="none" w:sz="0" w:space="0" w:color="auto"/>
          <w:lang w:val="it-IT" w:eastAsia="en-US"/>
        </w:rPr>
        <w:t xml:space="preserve"> were the press conferences promoted by the exhibiting companies to present the main new products in their range. Among the meetings with journalists, of particular interest was</w:t>
      </w:r>
      <w:r w:rsidRPr="008C7C6F">
        <w:rPr>
          <w:rFonts w:eastAsia="Calibri" w:cs="Times New Roman"/>
          <w:color w:val="auto"/>
          <w:bdr w:val="none" w:sz="0" w:space="0" w:color="auto"/>
          <w:lang w:val="it-IT" w:eastAsia="en-US"/>
        </w:rPr>
        <w:t xml:space="preserve"> the one organised this morning by New Holland. Carlo Lambro, Brand President of New Holland Agriculture and CEO of CNH Industrial, not only illustrated some of the company's medium-term strategies focused on 4.0, but also expressed satisfaction with the g</w:t>
      </w:r>
      <w:r w:rsidRPr="008C7C6F">
        <w:rPr>
          <w:rFonts w:eastAsia="Calibri" w:cs="Times New Roman"/>
          <w:color w:val="auto"/>
          <w:bdr w:val="none" w:sz="0" w:space="0" w:color="auto"/>
          <w:lang w:val="it-IT" w:eastAsia="en-US"/>
        </w:rPr>
        <w:t>rowth recorded by the multinational in Italy and Europe. The undisputed star of the press conference was the new T6.180 Methane Power tractor, which was awarded the Sustainable Toty prize by the Tractor of the Year jury for the most innovative tractor in t</w:t>
      </w:r>
      <w:r w:rsidRPr="008C7C6F">
        <w:rPr>
          <w:rFonts w:eastAsia="Calibri" w:cs="Times New Roman"/>
          <w:color w:val="auto"/>
          <w:bdr w:val="none" w:sz="0" w:space="0" w:color="auto"/>
          <w:lang w:val="it-IT" w:eastAsia="en-US"/>
        </w:rPr>
        <w:t xml:space="preserve">erms of sustainability. Product innovation and industrial policy were also the focus of the press conference organised by Argo Tractor. In the last three years," explained Alberto Morra, Member of the Board Agro Tractors SpA, "the Emilia-based company has </w:t>
      </w:r>
      <w:r w:rsidRPr="008C7C6F">
        <w:rPr>
          <w:rFonts w:eastAsia="Calibri" w:cs="Times New Roman"/>
          <w:color w:val="auto"/>
          <w:bdr w:val="none" w:sz="0" w:space="0" w:color="auto"/>
          <w:lang w:val="it-IT" w:eastAsia="en-US"/>
        </w:rPr>
        <w:t>focused a great deal on internationalisation activities, strengthening its position in all the main strategic markets, from Brazil to South Africa, from Germany to Turkey. At Argo Tractor, the innovations have involved the Landini and McCormick ranges in p</w:t>
      </w:r>
      <w:r w:rsidRPr="008C7C6F">
        <w:rPr>
          <w:rFonts w:eastAsia="Calibri" w:cs="Times New Roman"/>
          <w:color w:val="auto"/>
          <w:bdr w:val="none" w:sz="0" w:space="0" w:color="auto"/>
          <w:lang w:val="it-IT" w:eastAsia="en-US"/>
        </w:rPr>
        <w:t xml:space="preserve">articular, with technological solutions that have further improved their performance in the field. </w:t>
      </w:r>
    </w:p>
    <w:p w14:paraId="1D938A3B" w14:textId="77777777" w:rsidR="00D34394" w:rsidRDefault="00D34394" w:rsidP="008C7C6F">
      <w:pPr>
        <w:ind w:left="-142" w:right="-433"/>
        <w:jc w:val="both"/>
        <w:rPr>
          <w:rFonts w:eastAsia="Calibri" w:cs="Times New Roman"/>
        </w:rPr>
      </w:pPr>
    </w:p>
    <w:p w14:paraId="402AA9B0" w14:textId="77777777" w:rsidR="00B6255A" w:rsidRDefault="00D52B84">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 xml:space="preserve">20 </w:t>
      </w:r>
      <w:r w:rsidR="00D34394">
        <w:rPr>
          <w:rFonts w:cs="Times New Roman"/>
          <w:b/>
          <w:lang w:val="it-IT"/>
        </w:rPr>
        <w:t xml:space="preserve">October </w:t>
      </w:r>
      <w:r w:rsidR="00A734CB">
        <w:rPr>
          <w:rFonts w:cs="Times New Roman"/>
          <w:b/>
          <w:lang w:val="it-IT"/>
        </w:rPr>
        <w:t xml:space="preserve">2021 </w:t>
      </w:r>
    </w:p>
    <w:p w14:paraId="3FBC9DE1" w14:textId="77777777"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79B4" w14:textId="77777777" w:rsidR="00D52B84" w:rsidRDefault="00D52B84">
      <w:r>
        <w:separator/>
      </w:r>
    </w:p>
  </w:endnote>
  <w:endnote w:type="continuationSeparator" w:id="0">
    <w:p w14:paraId="3406E768" w14:textId="77777777" w:rsidR="00D52B84" w:rsidRDefault="00D5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23B6C" w14:textId="77777777" w:rsidR="00D52B84" w:rsidRDefault="00D52B84">
      <w:r>
        <w:separator/>
      </w:r>
    </w:p>
  </w:footnote>
  <w:footnote w:type="continuationSeparator" w:id="0">
    <w:p w14:paraId="59EB786E" w14:textId="77777777" w:rsidR="00D52B84" w:rsidRDefault="00D5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F93C" w14:textId="77777777" w:rsidR="00B6255A" w:rsidRDefault="00D52B84">
    <w:pPr>
      <w:pStyle w:val="Header"/>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7D40285A" wp14:editId="2158ECFF">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5FC612D1" w14:textId="77777777" w:rsidR="00B6255A" w:rsidRDefault="00D52B84">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w14:anchorId="38FD6B62">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B88C67B" wp14:editId="7933405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403BB439">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E38138F" wp14:editId="08533995">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7BD4BA6E" wp14:editId="2B00FBBC">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67D2AA6E" w14:textId="77777777" w:rsidR="00B6255A" w:rsidRDefault="00D52B84">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w14:anchorId="3FFE4D7A">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E71A7"/>
    <w:rsid w:val="000F4FAE"/>
    <w:rsid w:val="00112B03"/>
    <w:rsid w:val="00124A76"/>
    <w:rsid w:val="001671E6"/>
    <w:rsid w:val="00180463"/>
    <w:rsid w:val="0018354D"/>
    <w:rsid w:val="00191F36"/>
    <w:rsid w:val="00196FD7"/>
    <w:rsid w:val="001A0DCB"/>
    <w:rsid w:val="001B7564"/>
    <w:rsid w:val="00212768"/>
    <w:rsid w:val="0022432E"/>
    <w:rsid w:val="00224CF3"/>
    <w:rsid w:val="00225312"/>
    <w:rsid w:val="002415A7"/>
    <w:rsid w:val="002434A4"/>
    <w:rsid w:val="00250215"/>
    <w:rsid w:val="00256769"/>
    <w:rsid w:val="002633C4"/>
    <w:rsid w:val="00265E2B"/>
    <w:rsid w:val="002A081C"/>
    <w:rsid w:val="002B0B49"/>
    <w:rsid w:val="002F353D"/>
    <w:rsid w:val="003076AD"/>
    <w:rsid w:val="003241F7"/>
    <w:rsid w:val="00330ADB"/>
    <w:rsid w:val="00363902"/>
    <w:rsid w:val="00364712"/>
    <w:rsid w:val="00371FC4"/>
    <w:rsid w:val="00375AF2"/>
    <w:rsid w:val="00392960"/>
    <w:rsid w:val="00395CEF"/>
    <w:rsid w:val="003A5287"/>
    <w:rsid w:val="003B358C"/>
    <w:rsid w:val="003B5C39"/>
    <w:rsid w:val="003B7D16"/>
    <w:rsid w:val="003C095C"/>
    <w:rsid w:val="003C6A3B"/>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609F5"/>
    <w:rsid w:val="0076466C"/>
    <w:rsid w:val="00766BC5"/>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74E9"/>
    <w:rsid w:val="00846472"/>
    <w:rsid w:val="00851134"/>
    <w:rsid w:val="008553FB"/>
    <w:rsid w:val="00855B87"/>
    <w:rsid w:val="00864E48"/>
    <w:rsid w:val="00892EB6"/>
    <w:rsid w:val="00893AAD"/>
    <w:rsid w:val="00896574"/>
    <w:rsid w:val="008A094D"/>
    <w:rsid w:val="008A73A0"/>
    <w:rsid w:val="008C6C11"/>
    <w:rsid w:val="008C7C6F"/>
    <w:rsid w:val="008D1A58"/>
    <w:rsid w:val="008F1BC2"/>
    <w:rsid w:val="008F5AD0"/>
    <w:rsid w:val="008F61E6"/>
    <w:rsid w:val="00922337"/>
    <w:rsid w:val="009234B5"/>
    <w:rsid w:val="0093426C"/>
    <w:rsid w:val="0093775C"/>
    <w:rsid w:val="009664DB"/>
    <w:rsid w:val="0097010F"/>
    <w:rsid w:val="009913A8"/>
    <w:rsid w:val="009C0F34"/>
    <w:rsid w:val="009F23FD"/>
    <w:rsid w:val="00A10103"/>
    <w:rsid w:val="00A20F14"/>
    <w:rsid w:val="00A40562"/>
    <w:rsid w:val="00A4130B"/>
    <w:rsid w:val="00A440F2"/>
    <w:rsid w:val="00A525E3"/>
    <w:rsid w:val="00A734CB"/>
    <w:rsid w:val="00A76C82"/>
    <w:rsid w:val="00A770C2"/>
    <w:rsid w:val="00A96BE3"/>
    <w:rsid w:val="00AE1470"/>
    <w:rsid w:val="00AF167E"/>
    <w:rsid w:val="00AF1E29"/>
    <w:rsid w:val="00AF6EC5"/>
    <w:rsid w:val="00B032D7"/>
    <w:rsid w:val="00B07D52"/>
    <w:rsid w:val="00B21437"/>
    <w:rsid w:val="00B22F12"/>
    <w:rsid w:val="00B51775"/>
    <w:rsid w:val="00B6255A"/>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B49F3"/>
    <w:rsid w:val="00CC1C6F"/>
    <w:rsid w:val="00CC47D8"/>
    <w:rsid w:val="00CD3565"/>
    <w:rsid w:val="00CD3C7A"/>
    <w:rsid w:val="00CF7C28"/>
    <w:rsid w:val="00CF7CB3"/>
    <w:rsid w:val="00D005D7"/>
    <w:rsid w:val="00D1041F"/>
    <w:rsid w:val="00D134AB"/>
    <w:rsid w:val="00D15837"/>
    <w:rsid w:val="00D34394"/>
    <w:rsid w:val="00D406B4"/>
    <w:rsid w:val="00D4217A"/>
    <w:rsid w:val="00D52B84"/>
    <w:rsid w:val="00D54242"/>
    <w:rsid w:val="00D560A4"/>
    <w:rsid w:val="00D616AE"/>
    <w:rsid w:val="00D722A1"/>
    <w:rsid w:val="00D901D6"/>
    <w:rsid w:val="00DE3A07"/>
    <w:rsid w:val="00DF254C"/>
    <w:rsid w:val="00E13241"/>
    <w:rsid w:val="00E2650D"/>
    <w:rsid w:val="00E273DF"/>
    <w:rsid w:val="00E542DA"/>
    <w:rsid w:val="00E554B1"/>
    <w:rsid w:val="00E73CDA"/>
    <w:rsid w:val="00E7611F"/>
    <w:rsid w:val="00E76A4B"/>
    <w:rsid w:val="00E92448"/>
    <w:rsid w:val="00EB3652"/>
    <w:rsid w:val="00EC5741"/>
    <w:rsid w:val="00EE4903"/>
    <w:rsid w:val="00F02B30"/>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69E1EC"/>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302</Words>
  <Characters>1723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Robert C</cp:lastModifiedBy>
  <cp:revision>3</cp:revision>
  <cp:lastPrinted>2021-10-20T14:41:00Z</cp:lastPrinted>
  <dcterms:created xsi:type="dcterms:W3CDTF">2021-10-20T15:51:00Z</dcterms:created>
  <dcterms:modified xsi:type="dcterms:W3CDTF">2021-10-20T16:00:00Z</dcterms:modified>
</cp:coreProperties>
</file>